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АДМИНИСТРАЦИЯ</w:t>
      </w:r>
    </w:p>
    <w:p w:rsidR="00156020" w:rsidRPr="00837087" w:rsidRDefault="00714C24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СТАРОКАЛИТВЕНСКОГО</w:t>
      </w:r>
      <w:r w:rsidR="0023789A" w:rsidRPr="00837087">
        <w:rPr>
          <w:rFonts w:ascii="Arial" w:hAnsi="Arial" w:cs="Arial"/>
          <w:sz w:val="24"/>
          <w:szCs w:val="24"/>
        </w:rPr>
        <w:t xml:space="preserve">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3789A" w:rsidRPr="00837087" w:rsidRDefault="00714C2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11.03.2025г. № 14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с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. </w:t>
      </w:r>
      <w:r w:rsidR="00714C24">
        <w:rPr>
          <w:rFonts w:ascii="Arial" w:hAnsi="Arial" w:cs="Arial"/>
          <w:sz w:val="24"/>
          <w:szCs w:val="24"/>
        </w:rPr>
        <w:t>Старая Калитва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proofErr w:type="spellStart"/>
      <w:r w:rsidR="00714C24">
        <w:rPr>
          <w:rFonts w:ascii="Arial" w:hAnsi="Arial" w:cs="Arial"/>
          <w:b/>
          <w:sz w:val="32"/>
          <w:szCs w:val="32"/>
        </w:rPr>
        <w:t>Старокалитвенском</w:t>
      </w:r>
      <w:bookmarkEnd w:id="0"/>
      <w:proofErr w:type="spellEnd"/>
      <w:r w:rsidRPr="00837087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837087">
        <w:rPr>
          <w:rFonts w:ascii="Arial" w:hAnsi="Arial" w:cs="Arial"/>
          <w:sz w:val="24"/>
          <w:szCs w:val="24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="00363C6B" w:rsidRPr="0083708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14C24"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837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156020" w:rsidRPr="00837087" w:rsidRDefault="00714C24" w:rsidP="00714C24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Е.В.Кондратович</w:t>
            </w:r>
            <w:proofErr w:type="spellEnd"/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714C24">
        <w:rPr>
          <w:rFonts w:ascii="Arial" w:hAnsi="Arial" w:cs="Arial"/>
          <w:sz w:val="24"/>
          <w:szCs w:val="24"/>
        </w:rPr>
        <w:t>Старокалитвенского сельского поселения от 11.03.2025г.№ 14</w:t>
      </w:r>
    </w:p>
    <w:p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="00221602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3708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837087">
        <w:rPr>
          <w:rFonts w:ascii="Arial" w:hAnsi="Arial" w:cs="Arial"/>
          <w:sz w:val="24"/>
          <w:szCs w:val="24"/>
        </w:rPr>
        <w:t>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Руководство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осуществляет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глава</w:t>
      </w:r>
    </w:p>
    <w:p w:rsidR="00D53A74" w:rsidRPr="00837087" w:rsidRDefault="00714C24" w:rsidP="00837087">
      <w:pPr>
        <w:pStyle w:val="a3"/>
        <w:tabs>
          <w:tab w:val="left" w:pos="2165"/>
          <w:tab w:val="left" w:pos="72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Старокалитвенского</w:t>
      </w:r>
      <w:r w:rsidR="00341AAC" w:rsidRPr="00837087">
        <w:rPr>
          <w:rFonts w:ascii="Arial" w:hAnsi="Arial" w:cs="Arial"/>
          <w:sz w:val="24"/>
          <w:szCs w:val="24"/>
        </w:rPr>
        <w:t xml:space="preserve"> </w:t>
      </w:r>
      <w:r w:rsidR="00E970A3"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="00E970A3"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</w:t>
      </w:r>
      <w:proofErr w:type="gramStart"/>
      <w:r w:rsidRPr="00837087">
        <w:rPr>
          <w:rFonts w:ascii="Arial" w:hAnsi="Arial" w:cs="Arial"/>
          <w:sz w:val="24"/>
          <w:szCs w:val="24"/>
        </w:rPr>
        <w:t>дств дл</w:t>
      </w:r>
      <w:proofErr w:type="gramEnd"/>
      <w:r w:rsidRPr="00837087">
        <w:rPr>
          <w:rFonts w:ascii="Arial" w:hAnsi="Arial" w:cs="Arial"/>
          <w:sz w:val="24"/>
          <w:szCs w:val="24"/>
        </w:rPr>
        <w:t>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837087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приема и размещения эвакуируемого населения, </w:t>
      </w:r>
      <w:r w:rsidRPr="00837087">
        <w:rPr>
          <w:rFonts w:ascii="Arial" w:hAnsi="Arial" w:cs="Arial"/>
          <w:sz w:val="24"/>
          <w:szCs w:val="24"/>
        </w:rPr>
        <w:lastRenderedPageBreak/>
        <w:t>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</w:t>
      </w:r>
      <w:proofErr w:type="spellStart"/>
      <w:r w:rsidR="00BF77ED" w:rsidRPr="00837087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BF77ED" w:rsidRPr="00837087">
        <w:rPr>
          <w:rFonts w:ascii="Arial" w:hAnsi="Arial" w:cs="Arial"/>
          <w:sz w:val="24"/>
          <w:szCs w:val="24"/>
        </w:rPr>
        <w:t xml:space="preserve"> и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="00BF77ED" w:rsidRPr="00837087">
        <w:rPr>
          <w:rFonts w:ascii="Arial" w:hAnsi="Arial" w:cs="Arial"/>
          <w:sz w:val="24"/>
          <w:szCs w:val="24"/>
        </w:rPr>
        <w:t xml:space="preserve">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714C24">
        <w:rPr>
          <w:rFonts w:ascii="Arial" w:hAnsi="Arial" w:cs="Arial"/>
          <w:sz w:val="24"/>
          <w:szCs w:val="24"/>
        </w:rPr>
        <w:t>Старокалитвенского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</w:t>
      </w:r>
      <w:proofErr w:type="gramStart"/>
      <w:r w:rsidRPr="00837087">
        <w:rPr>
          <w:rFonts w:ascii="Arial" w:hAnsi="Arial" w:cs="Arial"/>
          <w:sz w:val="24"/>
          <w:szCs w:val="24"/>
        </w:rPr>
        <w:t>о-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59" w:rsidRDefault="007B2859" w:rsidP="00221602">
      <w:r>
        <w:separator/>
      </w:r>
    </w:p>
  </w:endnote>
  <w:endnote w:type="continuationSeparator" w:id="0">
    <w:p w:rsidR="007B2859" w:rsidRDefault="007B2859" w:rsidP="002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59" w:rsidRDefault="007B2859" w:rsidP="00221602">
      <w:r>
        <w:separator/>
      </w:r>
    </w:p>
  </w:footnote>
  <w:footnote w:type="continuationSeparator" w:id="0">
    <w:p w:rsidR="007B2859" w:rsidRDefault="007B2859" w:rsidP="002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74"/>
    <w:rsid w:val="000A6C48"/>
    <w:rsid w:val="001224FD"/>
    <w:rsid w:val="00156020"/>
    <w:rsid w:val="00221602"/>
    <w:rsid w:val="0023789A"/>
    <w:rsid w:val="00341AAC"/>
    <w:rsid w:val="00363C6B"/>
    <w:rsid w:val="00411539"/>
    <w:rsid w:val="0047430B"/>
    <w:rsid w:val="005E2606"/>
    <w:rsid w:val="00714C24"/>
    <w:rsid w:val="007B2859"/>
    <w:rsid w:val="00837087"/>
    <w:rsid w:val="008F2EA7"/>
    <w:rsid w:val="008F5286"/>
    <w:rsid w:val="00A10D85"/>
    <w:rsid w:val="00A604E3"/>
    <w:rsid w:val="00BF77ED"/>
    <w:rsid w:val="00C85E1D"/>
    <w:rsid w:val="00D53A74"/>
    <w:rsid w:val="00E52E9A"/>
    <w:rsid w:val="00E970A3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Пользователь</cp:lastModifiedBy>
  <cp:revision>7</cp:revision>
  <dcterms:created xsi:type="dcterms:W3CDTF">2025-03-05T12:32:00Z</dcterms:created>
  <dcterms:modified xsi:type="dcterms:W3CDTF">2025-03-11T10:40:00Z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