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6B" w:rsidRDefault="00FD536B" w:rsidP="00416EEE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  <w:bookmarkStart w:id="0" w:name="_GoBack"/>
      <w:bookmarkEnd w:id="0"/>
    </w:p>
    <w:p w:rsidR="00416EEE" w:rsidRDefault="00416EEE" w:rsidP="00416EEE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  <w:r w:rsidR="00BF2773">
        <w:rPr>
          <w:rFonts w:ascii="Times New Roman" w:hAnsi="Times New Roman"/>
          <w:sz w:val="26"/>
          <w:szCs w:val="26"/>
        </w:rPr>
        <w:t>Старокалитвенского</w:t>
      </w:r>
      <w:r w:rsidRPr="00EB36AB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</w:p>
    <w:p w:rsidR="00416EEE" w:rsidRPr="00EB36AB" w:rsidRDefault="00416EEE" w:rsidP="00416EEE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от </w:t>
      </w:r>
      <w:r w:rsidR="00BF2773">
        <w:rPr>
          <w:rFonts w:ascii="Times New Roman" w:hAnsi="Times New Roman"/>
          <w:sz w:val="26"/>
          <w:szCs w:val="26"/>
        </w:rPr>
        <w:t>24.09.2024 года № 47</w:t>
      </w:r>
    </w:p>
    <w:p w:rsidR="00053E62" w:rsidRPr="00053E62" w:rsidRDefault="00053E62" w:rsidP="00053E6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053E62" w:rsidRPr="00053E62" w:rsidRDefault="00053E62" w:rsidP="00053E6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«Дача согласия на осуществление обмена жилыми помещениями между нанимателями данных помещений по договорам социального найма» </w:t>
      </w:r>
    </w:p>
    <w:p w:rsidR="00053E62" w:rsidRPr="00053E62" w:rsidRDefault="00053E62" w:rsidP="00053E6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053E62" w:rsidRPr="00053E62" w:rsidTr="00F06A92">
        <w:trPr>
          <w:trHeight w:val="384"/>
        </w:trPr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3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053E62" w:rsidRPr="00BF2773" w:rsidRDefault="00053E62" w:rsidP="00053E62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BF2773">
              <w:rPr>
                <w:rFonts w:ascii="Times New Roman" w:hAnsi="Times New Roman"/>
                <w:b/>
                <w:sz w:val="18"/>
              </w:rPr>
              <w:t xml:space="preserve">Администрация </w:t>
            </w:r>
            <w:r w:rsidR="00BF2773" w:rsidRPr="00BF2773">
              <w:rPr>
                <w:rFonts w:ascii="Times New Roman" w:hAnsi="Times New Roman"/>
                <w:b/>
                <w:sz w:val="18"/>
              </w:rPr>
              <w:t>Старокалитвенского</w:t>
            </w:r>
            <w:r w:rsidRPr="00BF2773">
              <w:rPr>
                <w:rFonts w:ascii="Times New Roman" w:hAnsi="Times New Roman"/>
                <w:b/>
                <w:sz w:val="18"/>
              </w:rPr>
              <w:t xml:space="preserve"> сельского поселения </w:t>
            </w:r>
            <w:r w:rsidR="00F06A92" w:rsidRPr="00BF2773">
              <w:rPr>
                <w:rFonts w:ascii="Times New Roman" w:hAnsi="Times New Roman"/>
                <w:b/>
                <w:sz w:val="18"/>
              </w:rPr>
              <w:t>Россошанского</w:t>
            </w:r>
            <w:r w:rsidRPr="00BF2773">
              <w:rPr>
                <w:rFonts w:ascii="Times New Roman" w:hAnsi="Times New Roman"/>
                <w:b/>
                <w:sz w:val="18"/>
              </w:rPr>
              <w:t xml:space="preserve"> муниципального района Воронежской области </w:t>
            </w:r>
          </w:p>
          <w:p w:rsidR="00053E62" w:rsidRPr="00BF2773" w:rsidRDefault="00053E62" w:rsidP="00053E62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053E62" w:rsidRPr="00BF2773" w:rsidRDefault="00BF2773" w:rsidP="00BF2773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BF2773">
              <w:rPr>
                <w:rFonts w:ascii="Times New Roman" w:hAnsi="Times New Roman"/>
                <w:b/>
                <w:sz w:val="18"/>
              </w:rPr>
              <w:t>3640100010000818332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053E62" w:rsidRPr="00053E62" w:rsidRDefault="00053E62" w:rsidP="00DA0906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Утвержден постановлением администрации </w:t>
            </w:r>
            <w:r w:rsidR="00BF2773">
              <w:rPr>
                <w:rFonts w:ascii="Times New Roman" w:hAnsi="Times New Roman"/>
                <w:sz w:val="18"/>
              </w:rPr>
              <w:t>Старокалитвенского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</w:t>
            </w:r>
            <w:r w:rsidR="00BF2773">
              <w:rPr>
                <w:rFonts w:ascii="Times New Roman" w:hAnsi="Times New Roman"/>
                <w:sz w:val="18"/>
              </w:rPr>
              <w:t>района Воронежской области от 17</w:t>
            </w:r>
            <w:r w:rsidRPr="00053E62">
              <w:rPr>
                <w:rFonts w:ascii="Times New Roman" w:hAnsi="Times New Roman"/>
                <w:sz w:val="18"/>
              </w:rPr>
              <w:t xml:space="preserve">.05.2016 г. № </w:t>
            </w:r>
            <w:r w:rsidR="00BF2773">
              <w:rPr>
                <w:rFonts w:ascii="Times New Roman" w:hAnsi="Times New Roman"/>
                <w:sz w:val="18"/>
              </w:rPr>
              <w:t>58</w:t>
            </w:r>
            <w:r w:rsidR="00DA0906">
              <w:rPr>
                <w:rFonts w:ascii="Times New Roman" w:hAnsi="Times New Roman"/>
                <w:sz w:val="18"/>
              </w:rPr>
              <w:t xml:space="preserve"> </w:t>
            </w:r>
            <w:r w:rsidRPr="00053E62">
              <w:rPr>
                <w:rFonts w:ascii="Times New Roman" w:hAnsi="Times New Roman"/>
                <w:sz w:val="18"/>
              </w:rPr>
              <w:t xml:space="preserve">«Об утверждении административного регламента администрации </w:t>
            </w:r>
            <w:r w:rsidR="00BF2773">
              <w:rPr>
                <w:rFonts w:ascii="Times New Roman" w:hAnsi="Times New Roman"/>
                <w:sz w:val="18"/>
              </w:rPr>
              <w:t>Старокалитвенского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найма»» 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Перечень «</w:t>
            </w:r>
            <w:proofErr w:type="spellStart"/>
            <w:r w:rsidRPr="00053E62">
              <w:rPr>
                <w:rFonts w:ascii="Times New Roman" w:hAnsi="Times New Roman"/>
                <w:sz w:val="18"/>
              </w:rPr>
              <w:t>подуслуг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rPr>
          <w:trHeight w:val="300"/>
        </w:trPr>
        <w:tc>
          <w:tcPr>
            <w:tcW w:w="225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3E62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053E62" w:rsidRPr="00053E62" w:rsidTr="00F06A92">
        <w:trPr>
          <w:trHeight w:val="270"/>
        </w:trPr>
        <w:tc>
          <w:tcPr>
            <w:tcW w:w="225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Единый портал государственных услуг;</w:t>
            </w:r>
          </w:p>
        </w:tc>
      </w:tr>
      <w:tr w:rsidR="00053E62" w:rsidRPr="00053E62" w:rsidTr="00F06A92">
        <w:trPr>
          <w:trHeight w:val="240"/>
        </w:trPr>
        <w:tc>
          <w:tcPr>
            <w:tcW w:w="225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 w:rsidRPr="00053E62">
              <w:rPr>
                <w:rFonts w:ascii="Times New Roman" w:hAnsi="Times New Roman"/>
                <w:sz w:val="18"/>
              </w:rPr>
              <w:t xml:space="preserve"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</w:t>
            </w:r>
            <w:r w:rsidRPr="00053E62">
              <w:rPr>
                <w:rFonts w:ascii="Times New Roman" w:hAnsi="Times New Roman"/>
                <w:sz w:val="18"/>
              </w:rPr>
              <w:lastRenderedPageBreak/>
              <w:t>дней с момента завершения рассмотрения представленных документов.</w:t>
            </w:r>
            <w:proofErr w:type="gramEnd"/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lastRenderedPageBreak/>
              <w:t>2.2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053E62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053E62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 w:rsidRPr="00053E62">
              <w:rPr>
                <w:rFonts w:ascii="Times New Roman" w:hAnsi="Times New Roman"/>
                <w:sz w:val="18"/>
              </w:rPr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  <w:proofErr w:type="gramEnd"/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4"/>
                <w:szCs w:val="20"/>
              </w:rPr>
            </w:pPr>
            <w:r w:rsidRPr="00053E62">
              <w:rPr>
                <w:rFonts w:ascii="Times New Roman" w:hAnsi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Основаниями для отказа в предоставлении муниципальной услуги являются: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  <w:r w:rsidRPr="00053E62">
              <w:rPr>
                <w:rFonts w:ascii="Times New Roman" w:hAnsi="Times New Roman"/>
                <w:sz w:val="18"/>
              </w:rPr>
              <w:tab/>
              <w:t>с заявлением обратилось лицо, не указанное в пункте 1.2.  настоящего административного регламента;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  <w:r w:rsidRPr="00053E62">
              <w:rPr>
                <w:rFonts w:ascii="Times New Roman" w:hAnsi="Times New Roman"/>
                <w:sz w:val="18"/>
              </w:rPr>
              <w:tab/>
              <w:t>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право пользования обмениваемым жилым помещением оспаривается в судебном порядке;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>- непредставление заявителем документов, указанных в пункте 2.6.1 настоящего административного регламента.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 предусмотрено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053E62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администрация </w:t>
            </w:r>
            <w:r w:rsidR="00BF2773">
              <w:rPr>
                <w:rFonts w:ascii="Times New Roman" w:hAnsi="Times New Roman"/>
                <w:sz w:val="18"/>
              </w:rPr>
              <w:t>Старокалитвенского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DA0906">
              <w:rPr>
                <w:rFonts w:ascii="Times New Roman" w:hAnsi="Times New Roman"/>
                <w:sz w:val="18"/>
              </w:rPr>
              <w:t>г</w:t>
            </w:r>
            <w:proofErr w:type="gramStart"/>
            <w:r w:rsidR="00DA0906">
              <w:rPr>
                <w:rFonts w:ascii="Times New Roman" w:hAnsi="Times New Roman"/>
                <w:sz w:val="18"/>
              </w:rPr>
              <w:t>.Р</w:t>
            </w:r>
            <w:proofErr w:type="gramEnd"/>
            <w:r w:rsidR="00DA0906">
              <w:rPr>
                <w:rFonts w:ascii="Times New Roman" w:hAnsi="Times New Roman"/>
                <w:sz w:val="18"/>
              </w:rPr>
              <w:t>оссошь</w:t>
            </w:r>
            <w:r w:rsidRPr="00053E62">
              <w:rPr>
                <w:rFonts w:ascii="Times New Roman" w:hAnsi="Times New Roman"/>
                <w:sz w:val="18"/>
              </w:rPr>
              <w:t>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- Портал государственных и муниципальных услуг Воронежской области (</w:t>
            </w:r>
            <w:r w:rsidRPr="00053E62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lastRenderedPageBreak/>
              <w:t>9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в администрации </w:t>
            </w:r>
            <w:r w:rsidR="00BF2773">
              <w:rPr>
                <w:rFonts w:ascii="Times New Roman" w:hAnsi="Times New Roman"/>
                <w:sz w:val="18"/>
              </w:rPr>
              <w:t>Старокалитвенского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</w:t>
            </w:r>
            <w:r w:rsidRPr="00053E62">
              <w:rPr>
                <w:rFonts w:ascii="Times New Roman" w:hAnsi="Times New Roman"/>
                <w:sz w:val="18"/>
                <w:highlight w:val="yellow"/>
              </w:rPr>
              <w:t>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spellStart"/>
            <w:r w:rsidR="00DA0906">
              <w:rPr>
                <w:rFonts w:ascii="Times New Roman" w:hAnsi="Times New Roman"/>
                <w:sz w:val="18"/>
              </w:rPr>
              <w:t>г</w:t>
            </w:r>
            <w:proofErr w:type="gramStart"/>
            <w:r w:rsidR="00DA0906">
              <w:rPr>
                <w:rFonts w:ascii="Times New Roman" w:hAnsi="Times New Roman"/>
                <w:sz w:val="18"/>
              </w:rPr>
              <w:t>.Р</w:t>
            </w:r>
            <w:proofErr w:type="gramEnd"/>
            <w:r w:rsidR="00DA0906">
              <w:rPr>
                <w:rFonts w:ascii="Times New Roman" w:hAnsi="Times New Roman"/>
                <w:sz w:val="18"/>
              </w:rPr>
              <w:t>оссошь</w:t>
            </w:r>
            <w:r w:rsidRPr="00053E62">
              <w:rPr>
                <w:rFonts w:ascii="Times New Roman" w:hAnsi="Times New Roman"/>
                <w:sz w:val="18"/>
              </w:rPr>
              <w:t>на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бумажном носителе;</w:t>
            </w:r>
            <w:r w:rsidRPr="00053E62">
              <w:rPr>
                <w:rFonts w:ascii="Times New Roman" w:hAnsi="Times New Roman"/>
                <w:sz w:val="18"/>
              </w:rPr>
              <w:br/>
            </w:r>
            <w:r w:rsidRPr="00053E62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053E62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053E62">
              <w:rPr>
                <w:rFonts w:ascii="Times New Roman" w:hAnsi="Times New Roman"/>
                <w:sz w:val="18"/>
                <w:szCs w:val="18"/>
              </w:rPr>
              <w:br/>
            </w:r>
            <w:r w:rsidRPr="00053E62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связь..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1. Заявителями на получение Муниципальной услуги являются: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физические лица;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индивидуальные предприниматели;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юридические лица.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2. От имени физических и юридических лиц заявление о предоставлении Муниципальной услуги могут подавать лица, действующие в соответствии с законодательством и учредительными документами без доверенности, представители в силу полномочий, основанных на доверенности или договоре.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5 к настоящему Административному регламенту.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053E62" w:rsidRPr="00053E62" w:rsidTr="00F06A92">
        <w:trPr>
          <w:trHeight w:val="287"/>
        </w:trPr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- 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помещения).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16"/>
                <w:lang w:eastAsia="ru-RU"/>
              </w:rPr>
            </w:pPr>
            <w:r w:rsidRPr="00053E62">
              <w:rPr>
                <w:rFonts w:ascii="Courier New" w:eastAsia="Times New Roman" w:hAnsi="Courier New" w:cs="Courier New"/>
                <w:sz w:val="16"/>
                <w:lang w:eastAsia="ru-RU"/>
              </w:rPr>
              <w:t>нет</w:t>
            </w:r>
          </w:p>
        </w:tc>
      </w:tr>
    </w:tbl>
    <w:p w:rsidR="00053E62" w:rsidRPr="00053E62" w:rsidRDefault="00053E62" w:rsidP="00053E62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102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органа, </w:t>
            </w:r>
            <w:proofErr w:type="gram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направляю 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щего</w:t>
            </w:r>
            <w:proofErr w:type="spellEnd"/>
            <w:proofErr w:type="gram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межведо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мственный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запрос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SID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053E62" w:rsidRPr="00053E62" w:rsidTr="00F06A92">
        <w:tc>
          <w:tcPr>
            <w:tcW w:w="15538" w:type="dxa"/>
            <w:gridSpan w:val="9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документы, подтверждающие основания возникновения прав на жилые помещения (договор социального найма муниципального жилищного фонда, заключенный с заявителем и членами его семьи после 2006 года, выписка из решения органа местного самоуправления о предоставлении жилого помещения либо копия выписки из решения, заверенная в установленном порядке)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BF2773">
              <w:rPr>
                <w:rFonts w:ascii="Times New Roman" w:hAnsi="Times New Roman"/>
                <w:sz w:val="16"/>
                <w:szCs w:val="16"/>
              </w:rPr>
              <w:t>Старокалитвенского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BF2773">
              <w:rPr>
                <w:rFonts w:ascii="Times New Roman" w:hAnsi="Times New Roman"/>
                <w:sz w:val="16"/>
                <w:szCs w:val="16"/>
              </w:rPr>
              <w:t>Старокалитвенского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поселения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иска о расторжении или об изменении договора социального найма жилого помещения к нанимателю обмениваемого жилого помещения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BF2773">
              <w:rPr>
                <w:rFonts w:ascii="Times New Roman" w:hAnsi="Times New Roman"/>
                <w:sz w:val="16"/>
                <w:szCs w:val="16"/>
              </w:rPr>
              <w:t>Старокалитвенского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BF2773">
              <w:rPr>
                <w:rFonts w:ascii="Times New Roman" w:hAnsi="Times New Roman"/>
                <w:sz w:val="16"/>
                <w:szCs w:val="16"/>
              </w:rPr>
              <w:t>Старокалитвенского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поселения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оспаривания в судебном порядке права пользования обмениваемым жилым помещением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BF2773">
              <w:rPr>
                <w:rFonts w:ascii="Times New Roman" w:hAnsi="Times New Roman"/>
                <w:sz w:val="16"/>
                <w:szCs w:val="16"/>
              </w:rPr>
              <w:t>Старокалитвенского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BF2773">
              <w:rPr>
                <w:rFonts w:ascii="Times New Roman" w:hAnsi="Times New Roman"/>
                <w:sz w:val="16"/>
                <w:szCs w:val="16"/>
              </w:rPr>
              <w:t>Старокалитвенского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поселения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в случае если обмениваемые помещения находятся в разных населенных пунктах на территории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информация о наличии (отсутствии) заключения о признании обмениваемого жилого помещения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непригодным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для проживания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BF2773">
              <w:rPr>
                <w:rFonts w:ascii="Times New Roman" w:hAnsi="Times New Roman"/>
                <w:sz w:val="16"/>
                <w:szCs w:val="16"/>
              </w:rPr>
              <w:t>Старокалитвенского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BF2773">
              <w:rPr>
                <w:rFonts w:ascii="Times New Roman" w:hAnsi="Times New Roman"/>
                <w:sz w:val="16"/>
                <w:szCs w:val="16"/>
              </w:rPr>
              <w:t>Старокалитвенского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решения о сносе соответствующего дома или о его переоборудовании для использования в других целях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BF2773">
              <w:rPr>
                <w:rFonts w:ascii="Times New Roman" w:hAnsi="Times New Roman"/>
                <w:sz w:val="16"/>
                <w:szCs w:val="16"/>
              </w:rPr>
              <w:t>Старокалитвенского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BF2773">
              <w:rPr>
                <w:rFonts w:ascii="Times New Roman" w:hAnsi="Times New Roman"/>
                <w:sz w:val="16"/>
                <w:szCs w:val="16"/>
              </w:rPr>
              <w:t>Старокалитвенского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поселения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информация о наличии (отсутствии) принятого решения о капитальном ремонте соответствующего дома с переустройством и (или) перепланировкой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жилых помещений в этом доме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BF2773">
              <w:rPr>
                <w:rFonts w:ascii="Times New Roman" w:hAnsi="Times New Roman"/>
                <w:sz w:val="16"/>
                <w:szCs w:val="16"/>
              </w:rPr>
              <w:t>Старокалитвенского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BF2773">
              <w:rPr>
                <w:rFonts w:ascii="Times New Roman" w:hAnsi="Times New Roman"/>
                <w:sz w:val="16"/>
                <w:szCs w:val="16"/>
              </w:rPr>
              <w:t>Старокалитвенского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6 рабочих дней (направление запроса – 1 рабочих дней, получение ответа на запрос – 5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53E62" w:rsidRPr="00053E62" w:rsidRDefault="00053E62" w:rsidP="00053E62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Style w:val="102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053E62" w:rsidRPr="00053E62" w:rsidTr="00F06A92">
        <w:tc>
          <w:tcPr>
            <w:tcW w:w="534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2976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2273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838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Характеристика результата (положительный/</w:t>
            </w:r>
            <w:proofErr w:type="gramEnd"/>
          </w:p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Форма документа/ документов, являющимся результатом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Образец документа/ документов, являющихся результатом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053E62" w:rsidRPr="00053E62" w:rsidTr="00F06A92">
        <w:tc>
          <w:tcPr>
            <w:tcW w:w="534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в МФЦ</w:t>
            </w:r>
          </w:p>
        </w:tc>
      </w:tr>
      <w:tr w:rsidR="00053E62" w:rsidRPr="00053E62" w:rsidTr="00F06A92">
        <w:tc>
          <w:tcPr>
            <w:tcW w:w="53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053E62" w:rsidRPr="00053E62" w:rsidTr="00F06A92">
        <w:tc>
          <w:tcPr>
            <w:tcW w:w="15538" w:type="dxa"/>
            <w:gridSpan w:val="9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53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053E62" w:rsidRPr="00053E62" w:rsidRDefault="007D293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Постановление</w:t>
            </w:r>
            <w:r w:rsidR="00053E62" w:rsidRPr="00053E62">
              <w:rPr>
                <w:rFonts w:ascii="Times New Roman" w:hAnsi="Times New Roman"/>
                <w:sz w:val="16"/>
                <w:szCs w:val="16"/>
              </w:rPr>
              <w:t xml:space="preserve"> администрации  о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27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почтовая связь;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053E62" w:rsidRPr="00053E62" w:rsidTr="00F06A92">
        <w:tc>
          <w:tcPr>
            <w:tcW w:w="53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об отказе в даче согласия на осуществление обмена жилыми помещениями между нанимателями данных помещений по договорам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социального найма</w:t>
            </w:r>
          </w:p>
        </w:tc>
        <w:tc>
          <w:tcPr>
            <w:tcW w:w="227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 указанием оснований для отказа, предусмотренных подразделом 2.8 Административного регламента (раздел 2 ТС)</w:t>
            </w:r>
          </w:p>
        </w:tc>
        <w:tc>
          <w:tcPr>
            <w:tcW w:w="18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почтовая связь;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Style w:val="102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Прием и регистрация заявления и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прилагаемых</w:t>
            </w:r>
            <w:proofErr w:type="gramEnd"/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К заявлению должны быть приложены документы, указанные в пункте 2.6.1 Административного регламента (раздел 4 ТС).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 (за исключением договора об обмене жилыми помещениями, занимаемыми по договорам социального найма).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В случае отсутствия основания, указанного в подразделе 2.7 Административного регламента (раздел 2 ТС), специалист, ответственный за прием документов, регистрирует заявление с прилагаемым комплектом документов и не позднее 1 рабочего дня, следующего за днем регистрации заявления,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  <w:proofErr w:type="gramEnd"/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наличия основания, указанного в подразделе 2.7 Административного регламента (раздел 2 ТС),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и направления уведомления - 3 рабочих со дня регистрации поступившего заявления.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 Получение заявления и прилагаемых к нему документов подтверждается путем направления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При наличии основания, указанного в подразделе 2.7 Административного регламента (раздел 2 ТС), специалист, ответственный за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Срок направления уведомления об отказе в приеме документов - не позднее 1 рабочего дня, следующего за днем поступления заявления в управление.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- проверяет полномочия заявителя, в том числе полномочия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представителя гражданина действовать от его имени;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повреждений, наличие которых не позволяет однозначно истолковать их содержание;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выдает расписку в получении документов по установленной форме (приложение N 5 к Административному регламенту) с указанием их перечня и даты получения.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сроки, установленные заключенным соглашением о взаимодействии.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 наличии основания, указанного в подразделе 2.7 Административного регламента (раздел 2 ТС),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формы заявлений;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формы расписок в получении документов;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- МФУ (для копирования и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сканирования документов);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интегрированная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 форма заявления (приложение 1);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образец заявления (приложение 2);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- 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ind w:left="4395" w:hanging="4395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Наименование административной процедуры 2: </w:t>
            </w:r>
            <w:proofErr w:type="gram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Рассмотрение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и принятие решения о даче согласия (отказе в даче согласия) на осуществление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обмена жилыми помещениями между нанимателями данных помещений по договорам социального найма</w:t>
            </w:r>
            <w:proofErr w:type="gramEnd"/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Специалист проводит проверку заявления и прилагаемых к нему документов на соответствие требованиям, установленным пунктом 2.6.1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7 рабочих дней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В случае отсутствия оснований, установленных подразделом 2.8 Административного регламента (раздел 2 ТС), а также отсутствия в представленном пакете документов, указанных в пункте 2.6.2 (раздел 5 ТС) Административного регламента, специалист в целях их получения в рамках межведомственного взаимодействия в течение 2 рабочих дней направляет запросы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управление жилищно-коммунального хозяйства администрации городского округа город Воронеж на получение информации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соответствующие органы местного самоуправления муниципальных образований Российской Федерации на получение информации, указанной в пункте 2.6.2 Административного регламента.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Данный запрос осуществляется в случае, если одно из обмениваемых помещений находится за пределами городского округа город Воронеж на территории Российской Федерации.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На основании документов, представленных заявителем, и сведений, полученных в порядке межведомственного информационного взаимодействия, специалист устанавливает наличие или отсутствие оснований для отказа в предоставлении муниципальной услуги, указанных в подразделе 2.8 (раздел 2 ТС) Административного регламента.</w:t>
            </w:r>
          </w:p>
        </w:tc>
        <w:tc>
          <w:tcPr>
            <w:tcW w:w="1985" w:type="dxa"/>
            <w:vMerge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документов.</w:t>
            </w:r>
          </w:p>
        </w:tc>
        <w:tc>
          <w:tcPr>
            <w:tcW w:w="1985" w:type="dxa"/>
            <w:vMerge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Принятие решения о даче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согласия (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отказе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в даче согласия) на осуществление обмена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жилыми помещениями между нанимателями данных помещений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 договорам социального найма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При отсутствии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При наличии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об отказе в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При поступлении в управление заявления о даче согласия на осуществление обмена жилыми помещениями между нанимателями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данных помещений по договорам социального найма через МФЦ зарегистрированный приказ управления направляется с сопроводительным письмом в адрес в МФЦ в порядке и сроки, установленные заключенным соглашением о взаимодействии.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ind w:left="4395" w:hanging="4395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административной процедуры 4: Выдача (направление) документа, являющегося результатом предоставления муниципальной услуги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Выдача (направление) документа,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являющегося результатом предоставления муниципальной услуги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Приказ управления жилищных отношений администрации городского округа город Воронеж о даче согласия на осуществление обмена жилыми помещениями между нанимателями данных помещений по договорам социального найма либо об отказе в даче такого согласия выдаются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(направляются) заявителю одним из следующих способов: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непосредственно по месту подачи заявления;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посредством почтового отправления;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2 рабочих дня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2260"/>
        <w:gridCol w:w="1977"/>
        <w:gridCol w:w="2119"/>
        <w:gridCol w:w="3325"/>
        <w:gridCol w:w="3586"/>
      </w:tblGrid>
      <w:tr w:rsidR="00053E62" w:rsidRPr="00053E62" w:rsidTr="00F06A92">
        <w:trPr>
          <w:trHeight w:val="517"/>
        </w:trPr>
        <w:tc>
          <w:tcPr>
            <w:tcW w:w="679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053E62" w:rsidRPr="00053E62" w:rsidTr="00F06A92">
        <w:trPr>
          <w:trHeight w:val="517"/>
        </w:trPr>
        <w:tc>
          <w:tcPr>
            <w:tcW w:w="679" w:type="pct"/>
            <w:vMerge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53E62" w:rsidRPr="00053E62" w:rsidTr="00F06A92">
        <w:tc>
          <w:tcPr>
            <w:tcW w:w="67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053E62" w:rsidRPr="00053E62" w:rsidTr="00F06A92">
        <w:tc>
          <w:tcPr>
            <w:tcW w:w="5000" w:type="pct"/>
            <w:gridSpan w:val="6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20"/>
                <w:szCs w:val="28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679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4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83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почта;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МФЦ;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 личный прием заявителя.</w:t>
            </w:r>
          </w:p>
        </w:tc>
      </w:tr>
    </w:tbl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396AE1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396AE1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396AE1" w:rsidRPr="00053E62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6"/>
          <w:szCs w:val="23"/>
        </w:rPr>
      </w:pPr>
      <w:r w:rsidRPr="00053E62">
        <w:rPr>
          <w:rFonts w:ascii="Times New Roman" w:hAnsi="Times New Roman"/>
          <w:sz w:val="18"/>
          <w:szCs w:val="28"/>
        </w:rPr>
        <w:t>Приложение №1</w:t>
      </w:r>
      <w:r w:rsidRPr="00053E62">
        <w:rPr>
          <w:rFonts w:ascii="Times New Roman" w:hAnsi="Times New Roman"/>
          <w:sz w:val="18"/>
          <w:szCs w:val="28"/>
        </w:rPr>
        <w:br/>
      </w:r>
      <w:r w:rsidRPr="00053E62">
        <w:rPr>
          <w:rFonts w:ascii="Times New Roman" w:hAnsi="Times New Roman"/>
          <w:sz w:val="16"/>
          <w:szCs w:val="23"/>
        </w:rPr>
        <w:t>к Технологической схеме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В администрацию </w:t>
      </w:r>
      <w:r w:rsidR="00BF2773">
        <w:rPr>
          <w:rFonts w:ascii="Times New Roman" w:eastAsia="Times New Roman" w:hAnsi="Times New Roman"/>
          <w:sz w:val="18"/>
          <w:szCs w:val="18"/>
          <w:lang w:eastAsia="ru-RU"/>
        </w:rPr>
        <w:t>Старокалитвенского</w:t>
      </w: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поселения</w:t>
      </w: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</w:t>
      </w:r>
      <w:r w:rsidR="00F06A92">
        <w:rPr>
          <w:rFonts w:ascii="Times New Roman" w:eastAsia="Times New Roman" w:hAnsi="Times New Roman"/>
          <w:sz w:val="18"/>
          <w:szCs w:val="18"/>
          <w:lang w:eastAsia="ru-RU"/>
        </w:rPr>
        <w:t>Россошанского</w:t>
      </w: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от 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(Ф.И.О. гражданина полностью)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проживающего</w:t>
      </w:r>
      <w:proofErr w:type="gramEnd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по адресу: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паспортные данные: 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контактный</w:t>
      </w:r>
      <w:proofErr w:type="gramEnd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тел.__________________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ЗАЯВЛЕНИЕ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Прошу  дать согласие на обмен жилого помещения, занимаемого мной и по договору социального найма, расположенного по адресу: __________________________________________________________________,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(область, район, город, поселок, село или др., улица</w:t>
      </w:r>
      <w:proofErr w:type="gramEnd"/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или др., дом, квартира, комната и др.)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состоящего</w:t>
      </w:r>
      <w:proofErr w:type="gramEnd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из  ____ комнат, общей площадью _____________, 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на жилое помещение, расположенное по адресу: 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(область, район, город, поселок, село или др., улица</w:t>
      </w:r>
      <w:proofErr w:type="gramEnd"/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или др., дом, квартира, комната и др.)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состоящего</w:t>
      </w:r>
      <w:proofErr w:type="gramEnd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из  ____  комнат, общей площадью _______________.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К заявлению прилагаю следующие документы: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1.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2.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3.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4.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Дата ____________________          Подпись 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Подлинность  представленных мной сведений подтверждаю. </w:t>
      </w: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</w:t>
      </w:r>
      <w:hyperlink r:id="rId8" w:history="1">
        <w:r w:rsidRPr="00053E62">
          <w:rPr>
            <w:rFonts w:ascii="Times New Roman" w:eastAsia="Times New Roman" w:hAnsi="Times New Roman"/>
            <w:sz w:val="18"/>
            <w:szCs w:val="18"/>
            <w:lang w:eastAsia="ru-RU"/>
          </w:rPr>
          <w:t>законом</w:t>
        </w:r>
      </w:hyperlink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</w:t>
      </w:r>
      <w:hyperlink r:id="rId9" w:history="1">
        <w:r w:rsidRPr="00053E62">
          <w:rPr>
            <w:rFonts w:ascii="Times New Roman" w:eastAsia="Times New Roman" w:hAnsi="Times New Roman"/>
            <w:sz w:val="18"/>
            <w:szCs w:val="18"/>
            <w:lang w:eastAsia="ru-RU"/>
          </w:rPr>
          <w:t>статье 73</w:t>
        </w:r>
      </w:hyperlink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Жилищного кодекса Российской Федерации.</w:t>
      </w:r>
      <w:proofErr w:type="gramEnd"/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Заявитель:                             _____________ / ___________________/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(подпись)             (расшифровка подписи)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6"/>
          <w:szCs w:val="23"/>
        </w:rPr>
      </w:pPr>
      <w:r w:rsidRPr="00053E62">
        <w:rPr>
          <w:rFonts w:ascii="Times New Roman" w:hAnsi="Times New Roman"/>
          <w:sz w:val="18"/>
          <w:szCs w:val="28"/>
        </w:rPr>
        <w:t>Приложение №2</w:t>
      </w:r>
      <w:r w:rsidRPr="00053E62">
        <w:rPr>
          <w:rFonts w:ascii="Times New Roman" w:hAnsi="Times New Roman"/>
          <w:sz w:val="18"/>
          <w:szCs w:val="28"/>
        </w:rPr>
        <w:br/>
      </w:r>
      <w:r w:rsidRPr="00053E62">
        <w:rPr>
          <w:rFonts w:ascii="Times New Roman" w:hAnsi="Times New Roman"/>
          <w:sz w:val="16"/>
          <w:szCs w:val="23"/>
        </w:rPr>
        <w:t>к Технологической схеме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РАСПИСКА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в получении документов, представленных для принятия решения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Настоящим удостоверяется, что заявитель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                         (фамилия, имя, отчество)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представил, а сотрудник администрации _______________ _________________ получил «_____» ________________ _________ документы                                      (число)                          (месяц прописью)                (год)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в количестве _______________________________ экземпляров </w:t>
      </w:r>
      <w:proofErr w:type="gramStart"/>
      <w:r w:rsidRPr="00053E62">
        <w:rPr>
          <w:rFonts w:ascii="Times New Roman" w:hAnsi="Times New Roman"/>
          <w:sz w:val="18"/>
          <w:szCs w:val="18"/>
        </w:rPr>
        <w:t>по</w:t>
      </w:r>
      <w:proofErr w:type="gramEnd"/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                                                   (прописью)                                                                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прилагаемому к заявлению перечню документов,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                                             (согласно п. 2.6.1 настоящего Административного регламента):</w:t>
      </w:r>
    </w:p>
    <w:p w:rsidR="00053E62" w:rsidRPr="00053E62" w:rsidRDefault="00053E62" w:rsidP="00053E6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(должность специалиста,                             (подпись)                                         (расшифровка подписи)</w:t>
      </w:r>
      <w:proofErr w:type="gramEnd"/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ответственного за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прием документов)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</w:rPr>
      </w:pPr>
    </w:p>
    <w:sectPr w:rsidR="00053E62" w:rsidRPr="00053E62" w:rsidSect="00574733">
      <w:headerReference w:type="even" r:id="rId10"/>
      <w:headerReference w:type="default" r:id="rId11"/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89" w:rsidRDefault="000F7B89">
      <w:pPr>
        <w:spacing w:after="0" w:line="240" w:lineRule="auto"/>
      </w:pPr>
      <w:r>
        <w:separator/>
      </w:r>
    </w:p>
  </w:endnote>
  <w:endnote w:type="continuationSeparator" w:id="0">
    <w:p w:rsidR="000F7B89" w:rsidRDefault="000F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89" w:rsidRDefault="000F7B89">
      <w:pPr>
        <w:spacing w:after="0" w:line="240" w:lineRule="auto"/>
      </w:pPr>
      <w:r>
        <w:separator/>
      </w:r>
    </w:p>
  </w:footnote>
  <w:footnote w:type="continuationSeparator" w:id="0">
    <w:p w:rsidR="000F7B89" w:rsidRDefault="000F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92" w:rsidRDefault="00F06A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92" w:rsidRDefault="00F06A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055"/>
    <w:rsid w:val="00053E62"/>
    <w:rsid w:val="000646FE"/>
    <w:rsid w:val="00073D05"/>
    <w:rsid w:val="000977B0"/>
    <w:rsid w:val="000A3379"/>
    <w:rsid w:val="000C0A74"/>
    <w:rsid w:val="000C0FF7"/>
    <w:rsid w:val="000F7B89"/>
    <w:rsid w:val="0012113C"/>
    <w:rsid w:val="00141AD7"/>
    <w:rsid w:val="001E2B2B"/>
    <w:rsid w:val="001F43FF"/>
    <w:rsid w:val="00212E40"/>
    <w:rsid w:val="00230E16"/>
    <w:rsid w:val="00260E1B"/>
    <w:rsid w:val="00286E5F"/>
    <w:rsid w:val="002B6D50"/>
    <w:rsid w:val="00304EB8"/>
    <w:rsid w:val="00305211"/>
    <w:rsid w:val="00314208"/>
    <w:rsid w:val="0031697B"/>
    <w:rsid w:val="00342891"/>
    <w:rsid w:val="00355184"/>
    <w:rsid w:val="00360E69"/>
    <w:rsid w:val="00396AE1"/>
    <w:rsid w:val="003C4A7B"/>
    <w:rsid w:val="003C6170"/>
    <w:rsid w:val="00401D9F"/>
    <w:rsid w:val="00415924"/>
    <w:rsid w:val="00416EEE"/>
    <w:rsid w:val="004227F5"/>
    <w:rsid w:val="00456FE6"/>
    <w:rsid w:val="00473A8F"/>
    <w:rsid w:val="00481ADE"/>
    <w:rsid w:val="00501C4B"/>
    <w:rsid w:val="00504F6A"/>
    <w:rsid w:val="0056099B"/>
    <w:rsid w:val="00574733"/>
    <w:rsid w:val="00593E64"/>
    <w:rsid w:val="005A7A7A"/>
    <w:rsid w:val="00642C04"/>
    <w:rsid w:val="006D4A20"/>
    <w:rsid w:val="006F06E2"/>
    <w:rsid w:val="007450CD"/>
    <w:rsid w:val="007C16A4"/>
    <w:rsid w:val="007D2932"/>
    <w:rsid w:val="0089316F"/>
    <w:rsid w:val="00966BC3"/>
    <w:rsid w:val="009D40D4"/>
    <w:rsid w:val="00A540FC"/>
    <w:rsid w:val="00A55D63"/>
    <w:rsid w:val="00AD7814"/>
    <w:rsid w:val="00AE1099"/>
    <w:rsid w:val="00B001BA"/>
    <w:rsid w:val="00B120A6"/>
    <w:rsid w:val="00B30AD4"/>
    <w:rsid w:val="00B31D60"/>
    <w:rsid w:val="00BE25D0"/>
    <w:rsid w:val="00BF2773"/>
    <w:rsid w:val="00C4466D"/>
    <w:rsid w:val="00C45B4A"/>
    <w:rsid w:val="00C56878"/>
    <w:rsid w:val="00C7493A"/>
    <w:rsid w:val="00C75A5A"/>
    <w:rsid w:val="00D47472"/>
    <w:rsid w:val="00D86F76"/>
    <w:rsid w:val="00DA0906"/>
    <w:rsid w:val="00DF1C0F"/>
    <w:rsid w:val="00E41F89"/>
    <w:rsid w:val="00E65E1C"/>
    <w:rsid w:val="00EC16CF"/>
    <w:rsid w:val="00EC6055"/>
    <w:rsid w:val="00F012AF"/>
    <w:rsid w:val="00F0403D"/>
    <w:rsid w:val="00F06A92"/>
    <w:rsid w:val="00FA75E6"/>
    <w:rsid w:val="00FB2F63"/>
    <w:rsid w:val="00FC0716"/>
    <w:rsid w:val="00FD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7D2932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4D18144E91CE05B6E6A88B7729E9D6BC09341BBAA94DB595AB7788Cw5k7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04D18144E91CE05B6E6A88B7729E9D6BC19442B6A294DB595AB7788C57B4280C5EB5D145F38588w1k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4805</Words>
  <Characters>27394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2024-06-20T11:40:00Z</cp:lastPrinted>
  <dcterms:created xsi:type="dcterms:W3CDTF">2024-09-25T11:31:00Z</dcterms:created>
  <dcterms:modified xsi:type="dcterms:W3CDTF">2024-09-27T06:46:00Z</dcterms:modified>
</cp:coreProperties>
</file>