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99CE3" w14:textId="6273EF42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64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ДОПОЛНИТЕЛЬНОЕ СОГЛАШЕНИЕ № </w:t>
      </w:r>
      <w:r w:rsidR="00CA4F9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6664AABF" w14:textId="2425A9F9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она Воронежской области от 12.11.2021г. № б/</w:t>
      </w:r>
      <w:proofErr w:type="gramStart"/>
      <w:r w:rsidR="002843F1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End"/>
    </w:p>
    <w:p w14:paraId="3EF74C03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2BD4C6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8E86ED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DAE128" w14:textId="55F1324A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Россошь                                                                          «</w:t>
      </w:r>
      <w:r w:rsidR="00DF3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F3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2025</w:t>
      </w:r>
      <w:r w:rsidR="003F7CDF"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</w:t>
      </w:r>
      <w:r w:rsidRPr="00661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14:paraId="41FC71B4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</w:p>
    <w:p w14:paraId="0CA2ECB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611382" w14:textId="7C827F06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61643">
        <w:rPr>
          <w:rFonts w:ascii="Times New Roman" w:eastAsia="Calibri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Береснева Романа Николаевича, действующего на основании Устава</w:t>
      </w:r>
      <w:r w:rsidR="003F7CD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мун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иципального района Кондратовича Евгения Викторовича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глашение к Соглашению от 12.11.2021</w:t>
      </w:r>
      <w:proofErr w:type="gramStart"/>
      <w:r w:rsidR="002843F1">
        <w:rPr>
          <w:rFonts w:ascii="Times New Roman" w:eastAsia="Calibri" w:hAnsi="Times New Roman" w:cs="Times New Roman"/>
          <w:bCs/>
          <w:sz w:val="28"/>
          <w:szCs w:val="28"/>
        </w:rPr>
        <w:t>г. № б</w:t>
      </w:r>
      <w:proofErr w:type="gramEnd"/>
      <w:r w:rsidR="002843F1">
        <w:rPr>
          <w:rFonts w:ascii="Times New Roman" w:eastAsia="Calibri" w:hAnsi="Times New Roman" w:cs="Times New Roman"/>
          <w:bCs/>
          <w:sz w:val="28"/>
          <w:szCs w:val="28"/>
        </w:rPr>
        <w:t>/н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Соглашение) о нижеследующем:</w:t>
      </w:r>
    </w:p>
    <w:p w14:paraId="64363DF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F3069E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Изложить п. 1.2. Соглашения в новой редакции:</w:t>
      </w:r>
    </w:p>
    <w:p w14:paraId="79519A7C" w14:textId="5F77F47E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61643">
        <w:rPr>
          <w:rFonts w:ascii="Times New Roman" w:eastAsia="Calibri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2025 году осуществляется за счет пред</w:t>
      </w:r>
      <w:r w:rsidR="003F7CDF">
        <w:rPr>
          <w:rFonts w:ascii="Times New Roman" w:eastAsia="Calibri" w:hAnsi="Times New Roman" w:cs="Times New Roman"/>
          <w:sz w:val="28"/>
          <w:szCs w:val="28"/>
        </w:rPr>
        <w:t>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ставленных бюджетом </w:t>
      </w:r>
      <w:r w:rsidR="002843F1">
        <w:rPr>
          <w:rFonts w:ascii="Times New Roman" w:eastAsia="Calibri" w:hAnsi="Times New Roman" w:cs="Times New Roman"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764 700</w:t>
      </w:r>
      <w:r w:rsidRPr="00661643">
        <w:rPr>
          <w:rFonts w:ascii="Times New Roman" w:eastAsia="Calibri" w:hAnsi="Times New Roman" w:cs="Times New Roman"/>
          <w:sz w:val="28"/>
          <w:szCs w:val="28"/>
        </w:rPr>
        <w:t>, (семьсот шестьдесят четыре тысячи семьсот) рублей 00 копеек</w:t>
      </w:r>
      <w:proofErr w:type="gramStart"/>
      <w:r w:rsidRPr="0066164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4AA0850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2.  Приложение к Соглашению изложить в новой редакции согласно приложению.</w:t>
      </w:r>
    </w:p>
    <w:p w14:paraId="0B1B37E1" w14:textId="16477DB0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3. В остальном, что не оговорено настоящим Дополнительным соглашением, стороны руководствую</w:t>
      </w:r>
      <w:r w:rsidR="002843F1">
        <w:rPr>
          <w:rFonts w:ascii="Times New Roman" w:eastAsia="Calibri" w:hAnsi="Times New Roman" w:cs="Times New Roman"/>
          <w:bCs/>
          <w:sz w:val="28"/>
          <w:szCs w:val="28"/>
        </w:rPr>
        <w:t>тся условиями Соглашения от 12.11.2021г. № б/</w:t>
      </w:r>
      <w:proofErr w:type="gramStart"/>
      <w:r w:rsidR="002843F1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End"/>
      <w:r w:rsidRPr="006616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E3B7547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4.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14:paraId="3A0EE3A9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Дополнительное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68408D14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6. Юридические адреса и реквизиты сторон:</w:t>
      </w:r>
    </w:p>
    <w:p w14:paraId="0F712B6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174"/>
      </w:tblGrid>
      <w:tr w:rsidR="00661643" w:rsidRPr="00661643" w14:paraId="72B3E260" w14:textId="77777777" w:rsidTr="004617B1">
        <w:trPr>
          <w:trHeight w:val="1614"/>
        </w:trPr>
        <w:tc>
          <w:tcPr>
            <w:tcW w:w="4280" w:type="dxa"/>
          </w:tcPr>
          <w:p w14:paraId="039BFBC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Россошанского муниципального района Воронежской области</w:t>
            </w:r>
          </w:p>
          <w:p w14:paraId="1216821F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048A92AB" w14:textId="3EBF592D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843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Старокалитвенского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53294E7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643" w:rsidRPr="00661643" w14:paraId="21AB5739" w14:textId="77777777" w:rsidTr="004617B1">
        <w:trPr>
          <w:trHeight w:val="9355"/>
        </w:trPr>
        <w:tc>
          <w:tcPr>
            <w:tcW w:w="4280" w:type="dxa"/>
          </w:tcPr>
          <w:p w14:paraId="7A00711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14:paraId="7DFF4EB3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396650, Воронежская область, Россошанский район, г. Россошь, пл. Ленина, д. 4.</w:t>
            </w:r>
          </w:p>
          <w:p w14:paraId="467B370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7FFA7661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3627001908</w:t>
            </w:r>
          </w:p>
          <w:p w14:paraId="469C76F3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362701001</w:t>
            </w:r>
          </w:p>
          <w:p w14:paraId="7B8C3119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03100643000000013100</w:t>
            </w:r>
          </w:p>
          <w:p w14:paraId="4C4490B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г.Воронеж</w:t>
            </w:r>
            <w:proofErr w:type="spellEnd"/>
          </w:p>
          <w:p w14:paraId="7D7036B5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40102810945370000023</w:t>
            </w:r>
          </w:p>
          <w:p w14:paraId="54EFBE7B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012007084</w:t>
            </w:r>
          </w:p>
          <w:p w14:paraId="0C6B50EC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0C0C383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/c 0431300124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BD55E9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</w:tcPr>
          <w:p w14:paraId="33D09FC0" w14:textId="77777777" w:rsidR="00CA4F91" w:rsidRPr="00CA4F91" w:rsidRDefault="00CA4F91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F9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10C18B84" w14:textId="3C2BA594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396633, Воронежская область, Россошанский р-н, </w:t>
            </w:r>
            <w:proofErr w:type="gramStart"/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Старая Калитва, ул. Центральная,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C11F03C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 3627009784/362701001</w:t>
            </w:r>
          </w:p>
          <w:p w14:paraId="073A313A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5E7F2242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03100643000000013100</w:t>
            </w:r>
          </w:p>
          <w:p w14:paraId="4E5233EA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Банк: ОТДЕЛЕНИЕ ВОРОНЕЖ БАНКА РОССИИ//УФК по Воронежской области                  г. Воронеж </w:t>
            </w:r>
          </w:p>
          <w:p w14:paraId="429E6E1A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казначейский счет 40102810945370000023 </w:t>
            </w:r>
          </w:p>
          <w:p w14:paraId="52F2A9F8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 04313002810 в УФК по Воронежской области</w:t>
            </w:r>
          </w:p>
          <w:p w14:paraId="426F76B8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012007084</w:t>
            </w:r>
          </w:p>
          <w:p w14:paraId="492A52B3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 20647456</w:t>
            </w:r>
          </w:p>
          <w:p w14:paraId="77B37F68" w14:textId="77777777" w:rsidR="002843F1" w:rsidRPr="00440A38" w:rsidRDefault="002843F1" w:rsidP="002843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A38">
              <w:rPr>
                <w:rFonts w:ascii="Times New Roman" w:eastAsia="Times New Roman" w:hAnsi="Times New Roman" w:cs="Times New Roman"/>
                <w:sz w:val="28"/>
                <w:szCs w:val="28"/>
              </w:rPr>
              <w:t>КБК 914 2 02 49999 10 0000 150</w:t>
            </w:r>
          </w:p>
          <w:p w14:paraId="7296E3BA" w14:textId="5093469C" w:rsidR="00661643" w:rsidRPr="00661643" w:rsidRDefault="00661643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643" w:rsidRPr="00661643" w14:paraId="68FC76B6" w14:textId="77777777" w:rsidTr="004617B1">
        <w:trPr>
          <w:trHeight w:val="2906"/>
        </w:trPr>
        <w:tc>
          <w:tcPr>
            <w:tcW w:w="4280" w:type="dxa"/>
          </w:tcPr>
          <w:p w14:paraId="453DFAE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Россошанского муниципального района Воронежской области </w:t>
            </w:r>
          </w:p>
          <w:p w14:paraId="75CF378C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2E89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12CD8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1FAFD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_______________Р.Н.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5174" w:type="dxa"/>
          </w:tcPr>
          <w:p w14:paraId="22168F4F" w14:textId="38D88D5F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="002843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Старокалитвенского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            поселения Россошанского        муниципального района Воронежской области </w:t>
            </w:r>
          </w:p>
          <w:p w14:paraId="5684838B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74E0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936E9" w14:textId="5296D0D1" w:rsidR="00661643" w:rsidRPr="00661643" w:rsidRDefault="002843F1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________________Е.В.</w:t>
            </w:r>
            <w:r w:rsidR="00777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Кондратович</w:t>
            </w:r>
          </w:p>
        </w:tc>
      </w:tr>
    </w:tbl>
    <w:p w14:paraId="38631DE0" w14:textId="77777777" w:rsidR="00661643" w:rsidRPr="00661643" w:rsidRDefault="00661643" w:rsidP="0066164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661643" w:rsidRPr="00661643" w14:paraId="75327AC0" w14:textId="77777777" w:rsidTr="004617B1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D7DFA95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14:paraId="750308A8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10700FC4" w14:textId="1A79A9EF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 «</w:t>
            </w:r>
            <w:r w:rsidR="00DF37C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F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 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36199A0F" w14:textId="28FE3C60"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84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к соглашению от 12.11.2021г. № б/</w:t>
            </w:r>
            <w:proofErr w:type="gramStart"/>
            <w:r w:rsidR="002843F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</w:p>
          <w:p w14:paraId="0F3812B6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9BFF27" w14:textId="77777777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14:paraId="7798481E" w14:textId="2F99D2C1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2843F1">
        <w:rPr>
          <w:rFonts w:ascii="Times New Roman" w:eastAsia="Calibri" w:hAnsi="Times New Roman" w:cs="Times New Roman"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14:paraId="281395A5" w14:textId="18E28B10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</w:t>
      </w:r>
      <w:r w:rsidR="003F7CDF">
        <w:rPr>
          <w:rFonts w:ascii="Times New Roman" w:eastAsia="Calibri" w:hAnsi="Times New Roman" w:cs="Times New Roman"/>
          <w:sz w:val="28"/>
          <w:szCs w:val="28"/>
        </w:rPr>
        <w:t xml:space="preserve">составлению </w:t>
      </w:r>
      <w:r w:rsidRPr="00661643">
        <w:rPr>
          <w:rFonts w:ascii="Times New Roman" w:eastAsia="Calibri" w:hAnsi="Times New Roman" w:cs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66164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661643" w:rsidRPr="00661643" w14:paraId="1F0FCC5B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1260A06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FF65182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7A1A3A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F00FEBA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C1F899D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20EF1B9C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305C5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661643" w:rsidRPr="00661643" w14:paraId="0138E5F7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390D32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C1905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5A18B732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7EDADE5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14:paraId="2D8F9C0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0717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полномочий, прочие расходы.</w:t>
      </w:r>
    </w:p>
    <w:p w14:paraId="03ED7DF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5DB92" w14:textId="4CA17C2E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17 – количество сельских поселений, </w:t>
      </w:r>
      <w:r w:rsidR="003F7CDF">
        <w:rPr>
          <w:rFonts w:ascii="Times New Roman" w:eastAsia="Calibri" w:hAnsi="Times New Roman" w:cs="Times New Roman"/>
          <w:sz w:val="28"/>
          <w:szCs w:val="28"/>
        </w:rPr>
        <w:t>для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14:paraId="00C55964" w14:textId="5EE72FC8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г. = </w:t>
      </w:r>
      <w:r>
        <w:rPr>
          <w:rFonts w:ascii="Times New Roman" w:eastAsia="Calibri" w:hAnsi="Times New Roman" w:cs="Times New Roman"/>
          <w:sz w:val="28"/>
          <w:szCs w:val="28"/>
        </w:rPr>
        <w:t>12 999 90</w:t>
      </w:r>
      <w:r w:rsidRPr="00661643">
        <w:rPr>
          <w:rFonts w:ascii="Times New Roman" w:eastAsia="Calibri" w:hAnsi="Times New Roman" w:cs="Times New Roman"/>
          <w:sz w:val="28"/>
          <w:szCs w:val="28"/>
        </w:rPr>
        <w:t>0 руб. 00 коп.</w:t>
      </w:r>
    </w:p>
    <w:p w14:paraId="2E0313A4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756"/>
      </w:tblGrid>
      <w:tr w:rsidR="00661643" w:rsidRPr="00661643" w14:paraId="781A9E16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47154AE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6E75A79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48687F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09AAF1C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02FBB43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322FCA30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C6CE6" w14:textId="53E03F91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12 99990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661643" w:rsidRPr="00661643" w14:paraId="1E8C4568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93CB33E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524D9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28534BB6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064F7AC8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5EF86" w14:textId="10252701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764700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руб. 00 коп.</w:t>
      </w:r>
    </w:p>
    <w:p w14:paraId="7462A93D" w14:textId="77777777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0386E5" w14:textId="498E7F45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2843F1">
        <w:rPr>
          <w:rFonts w:ascii="Times New Roman" w:eastAsia="Calibri" w:hAnsi="Times New Roman" w:cs="Times New Roman"/>
          <w:sz w:val="28"/>
          <w:szCs w:val="28"/>
        </w:rPr>
        <w:t>Старокалитвенского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бюджет Россошанского </w:t>
      </w:r>
      <w:r w:rsidRPr="006616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района, на осуществление переданных полномочий в 2025г. составляет </w:t>
      </w:r>
      <w:bookmarkStart w:id="1" w:name="_Hlk192665990"/>
      <w:r w:rsidRPr="0066164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61643">
        <w:rPr>
          <w:rFonts w:ascii="Times New Roman" w:eastAsia="Calibri" w:hAnsi="Times New Roman" w:cs="Times New Roman"/>
          <w:sz w:val="28"/>
          <w:szCs w:val="28"/>
        </w:rPr>
        <w:t>4 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61643">
        <w:rPr>
          <w:rFonts w:ascii="Times New Roman" w:eastAsia="Calibri" w:hAnsi="Times New Roman" w:cs="Times New Roman"/>
          <w:sz w:val="28"/>
          <w:szCs w:val="28"/>
        </w:rPr>
        <w:t>00,</w:t>
      </w:r>
      <w:r w:rsidRPr="00661643">
        <w:t xml:space="preserve"> </w:t>
      </w:r>
      <w: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61643">
        <w:rPr>
          <w:rFonts w:ascii="Times New Roman" w:eastAsia="Calibri" w:hAnsi="Times New Roman" w:cs="Times New Roman"/>
          <w:sz w:val="28"/>
          <w:szCs w:val="28"/>
        </w:rPr>
        <w:t>емьсот шестьдесят четыре тысячи семьсот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61643">
        <w:rPr>
          <w:rFonts w:ascii="Times New Roman" w:eastAsia="Calibri" w:hAnsi="Times New Roman" w:cs="Times New Roman"/>
          <w:sz w:val="28"/>
          <w:szCs w:val="28"/>
        </w:rPr>
        <w:t>рублей 00 копеек</w:t>
      </w:r>
      <w:bookmarkEnd w:id="1"/>
      <w:proofErr w:type="gramStart"/>
      <w:r w:rsidRPr="0066164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0A5AAAE1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A293E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D0F82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661643" w:rsidRPr="00661643" w14:paraId="592DFED8" w14:textId="77777777" w:rsidTr="004617B1">
        <w:trPr>
          <w:trHeight w:val="1869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578BBDA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14:paraId="13CB7AE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7C30C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25AE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__________Р.Н. </w:t>
            </w:r>
            <w:proofErr w:type="spellStart"/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Береснев</w:t>
            </w:r>
            <w:proofErr w:type="spellEnd"/>
          </w:p>
          <w:p w14:paraId="6AA55A6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B1D6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7F2EFE6" w14:textId="1ADF0BC1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2843F1">
              <w:rPr>
                <w:rFonts w:ascii="Times New Roman" w:eastAsia="Calibri" w:hAnsi="Times New Roman" w:cs="Times New Roman"/>
                <w:sz w:val="28"/>
                <w:szCs w:val="28"/>
              </w:rPr>
              <w:t>Старокалитвенского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4DEA2657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ACDC50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330B7255" w14:textId="2026DC79" w:rsidR="00661643" w:rsidRPr="00661643" w:rsidRDefault="00661643" w:rsidP="002843F1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spellStart"/>
            <w:r w:rsidR="002843F1">
              <w:rPr>
                <w:rFonts w:ascii="Times New Roman" w:eastAsia="Calibri" w:hAnsi="Times New Roman" w:cs="Times New Roman"/>
                <w:sz w:val="28"/>
                <w:szCs w:val="28"/>
              </w:rPr>
              <w:t>Е.В.Кондратович</w:t>
            </w:r>
            <w:proofErr w:type="spellEnd"/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9687BF" w14:textId="77777777" w:rsidR="00661643" w:rsidRPr="00661643" w:rsidRDefault="00661643" w:rsidP="0066164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6F05D0F" w14:textId="77777777" w:rsidR="002D6990" w:rsidRDefault="002D6990"/>
    <w:sectPr w:rsidR="002D6990" w:rsidSect="00F31423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FB420" w14:textId="77777777" w:rsidR="002A70AF" w:rsidRDefault="002A70AF">
      <w:pPr>
        <w:spacing w:after="0" w:line="240" w:lineRule="auto"/>
      </w:pPr>
      <w:r>
        <w:separator/>
      </w:r>
    </w:p>
  </w:endnote>
  <w:endnote w:type="continuationSeparator" w:id="0">
    <w:p w14:paraId="7F5D24CD" w14:textId="77777777" w:rsidR="002A70AF" w:rsidRDefault="002A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36B0" w14:textId="77777777" w:rsidR="00CF1F34" w:rsidRDefault="002A70A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BFED" w14:textId="77777777" w:rsidR="002A70AF" w:rsidRDefault="002A70AF">
      <w:pPr>
        <w:spacing w:after="0" w:line="240" w:lineRule="auto"/>
      </w:pPr>
      <w:r>
        <w:separator/>
      </w:r>
    </w:p>
  </w:footnote>
  <w:footnote w:type="continuationSeparator" w:id="0">
    <w:p w14:paraId="1BE0109F" w14:textId="77777777" w:rsidR="002A70AF" w:rsidRDefault="002A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786914"/>
      <w:docPartObj>
        <w:docPartGallery w:val="Page Numbers (Top of Page)"/>
        <w:docPartUnique/>
      </w:docPartObj>
    </w:sdtPr>
    <w:sdtEndPr/>
    <w:sdtContent>
      <w:p w14:paraId="2DE29E14" w14:textId="77777777" w:rsidR="00F31423" w:rsidRDefault="002A70AF" w:rsidP="0077493A">
        <w:pPr>
          <w:pStyle w:val="10"/>
        </w:pPr>
      </w:p>
    </w:sdtContent>
  </w:sdt>
  <w:p w14:paraId="69D72A1F" w14:textId="77777777" w:rsidR="00F31423" w:rsidRDefault="002A70A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90"/>
    <w:rsid w:val="000B4E5B"/>
    <w:rsid w:val="001473C3"/>
    <w:rsid w:val="002843F1"/>
    <w:rsid w:val="002A70AF"/>
    <w:rsid w:val="002D6990"/>
    <w:rsid w:val="003F7CDF"/>
    <w:rsid w:val="00636E62"/>
    <w:rsid w:val="00661643"/>
    <w:rsid w:val="00777B5C"/>
    <w:rsid w:val="00C832C3"/>
    <w:rsid w:val="00CA4F91"/>
    <w:rsid w:val="00D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2025-03-24T05:17:00Z</dcterms:created>
  <dcterms:modified xsi:type="dcterms:W3CDTF">2025-04-15T08:21:00Z</dcterms:modified>
</cp:coreProperties>
</file>